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1E11D5">
        <w:rPr>
          <w:rFonts w:ascii="Calibri" w:hAnsi="Calibri" w:cs="Calibri"/>
          <w:i w:val="0"/>
          <w:sz w:val="20"/>
          <w:szCs w:val="20"/>
          <w:lang w:val="pl-PL"/>
        </w:rPr>
        <w:t>zapytania ofertowego nr 8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3B0B33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3B0B33">
        <w:rPr>
          <w:rFonts w:ascii="Calibri" w:hAnsi="Calibri" w:cs="Calibri"/>
          <w:sz w:val="20"/>
          <w:szCs w:val="20"/>
        </w:rPr>
        <w:t>1. Przedmiotem zamówienia jest</w:t>
      </w:r>
      <w:r w:rsidR="00454453" w:rsidRPr="003B0B33">
        <w:rPr>
          <w:rFonts w:ascii="Calibri" w:hAnsi="Calibri" w:cs="Calibri"/>
          <w:sz w:val="20"/>
          <w:szCs w:val="20"/>
        </w:rPr>
        <w:t xml:space="preserve">: </w:t>
      </w:r>
      <w:r w:rsidR="00454453" w:rsidRPr="003B0B33">
        <w:rPr>
          <w:rFonts w:ascii="Calibri" w:hAnsi="Calibri" w:cs="Calibri"/>
          <w:b/>
          <w:sz w:val="20"/>
          <w:szCs w:val="20"/>
        </w:rPr>
        <w:t>„</w:t>
      </w:r>
      <w:r w:rsidR="007E5553" w:rsidRPr="003B0B33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3B0B33">
        <w:rPr>
          <w:rFonts w:ascii="Calibri" w:hAnsi="Calibri" w:cs="Calibri"/>
          <w:bCs/>
          <w:sz w:val="20"/>
          <w:szCs w:val="20"/>
        </w:rPr>
        <w:t xml:space="preserve"> tj. zajęć rozwijających </w:t>
      </w:r>
      <w:r w:rsidR="003B0B33" w:rsidRPr="003B0B33">
        <w:rPr>
          <w:rFonts w:ascii="Calibri" w:hAnsi="Calibri" w:cs="Calibri"/>
          <w:bCs/>
          <w:sz w:val="20"/>
          <w:szCs w:val="20"/>
        </w:rPr>
        <w:t>kompetencje matematyczne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 </w:t>
      </w:r>
      <w:r w:rsidR="003B0B33" w:rsidRPr="003B0B33">
        <w:rPr>
          <w:rFonts w:ascii="Calibri" w:hAnsi="Calibri" w:cs="Calibri"/>
          <w:bCs/>
          <w:sz w:val="20"/>
          <w:szCs w:val="20"/>
        </w:rPr>
        <w:t xml:space="preserve">              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3B0B33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3B0B33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3B0B33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3B0B33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kompetencje matematyczne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C04FCE" w:rsidRPr="00BB1CA9" w:rsidRDefault="00A30246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B1CA9">
        <w:rPr>
          <w:rFonts w:ascii="Calibri" w:hAnsi="Calibri" w:cs="Calibri"/>
          <w:sz w:val="20"/>
          <w:szCs w:val="20"/>
        </w:rPr>
        <w:t>Łącznie</w:t>
      </w:r>
      <w:r w:rsidR="008F537F">
        <w:rPr>
          <w:rFonts w:ascii="Calibri" w:hAnsi="Calibri" w:cs="Calibri"/>
          <w:sz w:val="20"/>
          <w:szCs w:val="20"/>
        </w:rPr>
        <w:t xml:space="preserve"> 408</w:t>
      </w:r>
      <w:r w:rsidR="003B0B33" w:rsidRPr="00BB1CA9">
        <w:rPr>
          <w:rFonts w:ascii="Calibri" w:hAnsi="Calibri" w:cs="Calibri"/>
          <w:sz w:val="20"/>
          <w:szCs w:val="20"/>
        </w:rPr>
        <w:t xml:space="preserve"> </w:t>
      </w:r>
      <w:r w:rsidR="00C04FCE" w:rsidRPr="00BB1CA9">
        <w:rPr>
          <w:rFonts w:ascii="Calibri" w:hAnsi="Calibri" w:cs="Calibri"/>
          <w:sz w:val="20"/>
          <w:szCs w:val="20"/>
        </w:rPr>
        <w:t>godzin</w:t>
      </w:r>
      <w:r w:rsidRPr="00BB1CA9">
        <w:rPr>
          <w:rFonts w:ascii="Calibri" w:hAnsi="Calibri" w:cs="Calibri"/>
          <w:sz w:val="20"/>
          <w:szCs w:val="20"/>
        </w:rPr>
        <w:t xml:space="preserve"> </w:t>
      </w:r>
      <w:r w:rsidR="008F537F">
        <w:rPr>
          <w:rFonts w:ascii="Calibri" w:hAnsi="Calibri" w:cs="Calibri"/>
          <w:sz w:val="20"/>
          <w:szCs w:val="20"/>
        </w:rPr>
        <w:t>zajęć. / 192h w 2019 r. i 216</w:t>
      </w:r>
      <w:r w:rsidRPr="00BB1CA9"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BB1CA9">
        <w:rPr>
          <w:rFonts w:ascii="Calibri" w:hAnsi="Calibri" w:cs="Calibri"/>
          <w:sz w:val="20"/>
          <w:szCs w:val="20"/>
        </w:rPr>
        <w:t>świetlica środowiskowa w Masłowie, świetlica środowiskowa w Ciekotach</w:t>
      </w:r>
      <w:r w:rsidR="00125458">
        <w:rPr>
          <w:rFonts w:ascii="Calibri" w:hAnsi="Calibri" w:cs="Calibri"/>
          <w:sz w:val="20"/>
          <w:szCs w:val="20"/>
        </w:rPr>
        <w:t xml:space="preserve"> i</w:t>
      </w:r>
      <w:r w:rsidR="00BB1CA9">
        <w:rPr>
          <w:rFonts w:ascii="Calibri" w:hAnsi="Calibri" w:cs="Calibri"/>
          <w:sz w:val="20"/>
          <w:szCs w:val="20"/>
        </w:rPr>
        <w:t xml:space="preserve"> świetlica środowiskowa w Dąbrowie.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lastRenderedPageBreak/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BA" w:rsidRDefault="002407BA" w:rsidP="00530214">
      <w:r>
        <w:separator/>
      </w:r>
    </w:p>
  </w:endnote>
  <w:endnote w:type="continuationSeparator" w:id="0">
    <w:p w:rsidR="002407BA" w:rsidRDefault="002407BA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BA" w:rsidRDefault="002407BA" w:rsidP="00530214">
      <w:r>
        <w:separator/>
      </w:r>
    </w:p>
  </w:footnote>
  <w:footnote w:type="continuationSeparator" w:id="0">
    <w:p w:rsidR="002407BA" w:rsidRDefault="002407BA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BC35EA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5EA" w:rsidRDefault="00BC35EA" w:rsidP="006B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B12A9"/>
    <w:rsid w:val="000C59F1"/>
    <w:rsid w:val="000E5D71"/>
    <w:rsid w:val="000F1D29"/>
    <w:rsid w:val="000F23D9"/>
    <w:rsid w:val="00104067"/>
    <w:rsid w:val="00125458"/>
    <w:rsid w:val="00125E63"/>
    <w:rsid w:val="001323DA"/>
    <w:rsid w:val="00142BA4"/>
    <w:rsid w:val="001459B4"/>
    <w:rsid w:val="00160DC4"/>
    <w:rsid w:val="00165ED6"/>
    <w:rsid w:val="0017734B"/>
    <w:rsid w:val="001C7C0B"/>
    <w:rsid w:val="001E11D5"/>
    <w:rsid w:val="0020387D"/>
    <w:rsid w:val="002407BA"/>
    <w:rsid w:val="002510DD"/>
    <w:rsid w:val="002A6913"/>
    <w:rsid w:val="002C15AF"/>
    <w:rsid w:val="002D35D2"/>
    <w:rsid w:val="00306749"/>
    <w:rsid w:val="003104F6"/>
    <w:rsid w:val="003123FC"/>
    <w:rsid w:val="00325E70"/>
    <w:rsid w:val="00394496"/>
    <w:rsid w:val="003A292D"/>
    <w:rsid w:val="003B0B33"/>
    <w:rsid w:val="003D6129"/>
    <w:rsid w:val="003F7AC6"/>
    <w:rsid w:val="004001CD"/>
    <w:rsid w:val="00424E36"/>
    <w:rsid w:val="00454453"/>
    <w:rsid w:val="00471804"/>
    <w:rsid w:val="004A22BF"/>
    <w:rsid w:val="004A7912"/>
    <w:rsid w:val="00530214"/>
    <w:rsid w:val="00533E46"/>
    <w:rsid w:val="00537D9F"/>
    <w:rsid w:val="005D4436"/>
    <w:rsid w:val="005E38B8"/>
    <w:rsid w:val="0060154A"/>
    <w:rsid w:val="00605EC9"/>
    <w:rsid w:val="006A0B1B"/>
    <w:rsid w:val="006B1B5F"/>
    <w:rsid w:val="006B50C6"/>
    <w:rsid w:val="006C1039"/>
    <w:rsid w:val="006D00AA"/>
    <w:rsid w:val="006F6212"/>
    <w:rsid w:val="00705466"/>
    <w:rsid w:val="0078442A"/>
    <w:rsid w:val="007E5553"/>
    <w:rsid w:val="0081726A"/>
    <w:rsid w:val="0083439A"/>
    <w:rsid w:val="00841D71"/>
    <w:rsid w:val="008617E4"/>
    <w:rsid w:val="008716DB"/>
    <w:rsid w:val="00896EA3"/>
    <w:rsid w:val="008C7D84"/>
    <w:rsid w:val="008D1DC9"/>
    <w:rsid w:val="008D2CD4"/>
    <w:rsid w:val="008F0B18"/>
    <w:rsid w:val="008F537F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E2728"/>
    <w:rsid w:val="00AE3356"/>
    <w:rsid w:val="00AE4BE2"/>
    <w:rsid w:val="00AF2163"/>
    <w:rsid w:val="00B436AD"/>
    <w:rsid w:val="00B56C20"/>
    <w:rsid w:val="00B57603"/>
    <w:rsid w:val="00B821E9"/>
    <w:rsid w:val="00BB1CA9"/>
    <w:rsid w:val="00BC35EA"/>
    <w:rsid w:val="00BE27B0"/>
    <w:rsid w:val="00BF4289"/>
    <w:rsid w:val="00C04FCE"/>
    <w:rsid w:val="00C10DCD"/>
    <w:rsid w:val="00C11146"/>
    <w:rsid w:val="00C415CA"/>
    <w:rsid w:val="00C43252"/>
    <w:rsid w:val="00C830B5"/>
    <w:rsid w:val="00C839A3"/>
    <w:rsid w:val="00CA78F8"/>
    <w:rsid w:val="00CD2ED2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1436"/>
    <w:rsid w:val="00DD5A6B"/>
    <w:rsid w:val="00E06F46"/>
    <w:rsid w:val="00E42361"/>
    <w:rsid w:val="00E66535"/>
    <w:rsid w:val="00E84039"/>
    <w:rsid w:val="00E92FC7"/>
    <w:rsid w:val="00EE1DB6"/>
    <w:rsid w:val="00EE67B7"/>
    <w:rsid w:val="00EF7D1B"/>
    <w:rsid w:val="00F12164"/>
    <w:rsid w:val="00F12803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75B4"/>
  <w15:docId w15:val="{0877A0D3-0651-4725-B6E4-728A3FF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2019-02-15T16:33:00Z</dcterms:created>
  <dcterms:modified xsi:type="dcterms:W3CDTF">2019-02-15T16:33:00Z</dcterms:modified>
</cp:coreProperties>
</file>